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62" w:beforeLines="20" w:after="468" w:afterLines="150" w:line="240" w:lineRule="auto"/>
        <w:ind w:firstLine="0"/>
        <w:jc w:val="center"/>
        <w:textAlignment w:val="auto"/>
        <w:rPr>
          <w:rFonts w:hint="eastAsia" w:ascii="黑体" w:hAnsi="黑体" w:eastAsia="黑体" w:cs="黑体"/>
          <w:b w:val="0"/>
          <w:bCs/>
          <w:sz w:val="48"/>
          <w:szCs w:val="48"/>
          <w:lang w:eastAsia="zh-CN"/>
        </w:rPr>
      </w:pPr>
      <w:r>
        <w:rPr>
          <w:rFonts w:hint="eastAsia" w:ascii="黑体" w:hAnsi="黑体" w:eastAsia="黑体" w:cs="黑体"/>
          <w:b w:val="0"/>
          <w:bCs/>
          <w:sz w:val="48"/>
          <w:szCs w:val="48"/>
          <w:lang w:eastAsia="zh-CN"/>
        </w:rPr>
        <w:t>扬州市少年儿童图书馆信息公开制度</w:t>
      </w:r>
    </w:p>
    <w:p>
      <w:pPr>
        <w:spacing w:after="0" w:line="360" w:lineRule="auto"/>
        <w:ind w:right="220" w:rightChars="10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第一章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总</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则</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第一条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为了保障本单位职工知情权，规范单位信息公开工作，根据上级信息管理工作的要求，依据有关法律、法规和规章的规定，制定本制度。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本事业单位信息公开及管理工作适用本制度。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本制度所称的事业单位信息公开，是指本事业单位依法履行信息公开以及信息管理职能、提供实施单位内部管理过程中的各项公共事项及信息，采取适当形式向社会和本系统、本机关公示的行为。</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第四条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本单位信息公开以公开为原则，并遵循依法、准确、及时、公正和便民的原则。</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第五条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本单位应当向本系统内部公开下列事业信息：</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（一）单位年度工作目标及主要任务；</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（二）单位各项工作信息管理目标完成情况；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（三）单位工作目标任务及完成情况；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（四）单位体系职工年度奖惩情况；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（五）单位党风廉政建设情况；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（六）单位内部的其他重要事项。</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第六条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本单位信息公开工作制度涉及信息发布协调、信息的公布保密、信息的公开澄清、信息公开社会监督评议、信息公开规定行为责任追究、信息公开工作年度报告、不予公开的信息备案等详细制度。</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第二章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信息发布协调制度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第七条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发布主动公开的单位信息，应当遵循“谁制作、谁公开，谁保存、谁公开”的原则。单位各部门制作的信息，由制作该信息的部门负责公开；从公民、法人或者其他单位获取的信息，由保存该信息的部门负责公开。其他部门不得对该信息进行发布和解释。</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第八条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单位多个部门联合共同起草生成的需对外公布的信息，由组织起草生成该信息的部门负责向公众公开发布，其他部门不得对该信息进行发布。</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第九条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单位各部门发布重大单位信息、信息数据、统计信息等法律、行政法规和国家有关规定明确需要审批的单位信息，应当及时报请相关业务分管领导审批，信息未经审批的不得发布。</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各部门拟发布的信息涉及其他单位工作内容或发布后可能对其他单位工作产生影响的，应当及时向所涉及单位发送《信息发布协调函》和拟发布信息全文，书面征求意见。被征求意见单位应当在2个工作日内予以书面回复。</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第三章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信息公开保密制度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第十一条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本制度适用于单位在履行职责过程中制作或者获取的，以一定形式记录、保存的信息拟公开前的保密审查工作。</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第十二条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拟公开的单位信息均应进行保密审查。单位信息公开保密审查应贯彻“既保证单位信息及时有效公开，又确保国家法律保护的秘密信息安全”的方针，遵循“未经保密审查的信息不得公开、未经解密并准予公开的信息不得公开、公开与保密界限不清的信息不得公开”和“谁主管、谁负责；谁公开、谁审查”的原则。</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第十三条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信息保密审查，实行行政主要领导总负责、分管领导组织协调、责任部门和专门审查人员具体实施、保密工作部门指导监督的管理体制和工作机制。单位必须明确分管领导，落实责任部门，指定审查人员。信息公开的审查人员负责对本单位单位信息公开的日常保密审查和送审工作；根据授权依法界定单位秘密事项，提出相关单位信息能否公开的建议；及时登录相关网站、网页检查本单位发布的相关信息，发现涉密信息应当及时采取补救措施。</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第十四条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公民、法人或者其他组织对单位信息公开工作中因保密问题未公开相关信息存在质疑的，可以向单位信息产生的部门提出申请，要求单位说明不予公开有关信息的依据和理由。</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第十五条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单位信息公开保密审查制度或执行保密审查制度不力的，由监察机关、上级领导责令改正;情节严重的，对单位部门主要负责人和相关工作人员依法给予处分。构成犯罪的，依法追究刑事责任。</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第四章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信息公开澄清制度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第十六条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本制度所称虚假或不完整信息，是指社会上传播和散布的，与事实不相符、不准确，影响或可能影响社会稳定、扰乱社会管理秩序的信息。</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第十七条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本单位依据行政职责承担相关澄清虚假或不完整信息的义务。澄清虚假或不完整信息工作应当遵循发现及时、落实责任、处置迅速、控制得当的原则。</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第十八条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本单位制定澄清虚假或不完整信息工作预案。发现涉及职责范围内的虚假或不完整信息后，要立即按有关规定，通过互联网、广播、电视、报刊、手机短信、新闻发布会等方式和渠道，及时发布准确的单位信息。</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第十九条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对未及时澄清本行政机关职责范围内的虚假或不完整信息，对社会稳定、社会管理秩序造成重大不良影响的，依据《中华人民共和国单位信息公开条例》有关规定，依法追究相关人员的责任。</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第五章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信息公开社会监督评议制度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信息公开社会监督评议制度，就是在本单位上级领导的带领下，依靠社会监督，对单位工作之风进行社会监督评议，督促本单位整改存在的问题，提高信息公开效率。</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第二十一条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信息公开社会监督评议制度，要坚持和落实“阳光信息、透明公开、群众评议、民主监督”的原则和要求，根据单位分管领导统一部署，结合实际，制定社会监督评议实施方案。</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第二十二条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社会监督评议的内容，要紧密围绕与职工切身礼仪密切相关的、职工关注的焦点问题，应包括以下几个方面：</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（一）事业单位信息公开制度建设情况；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（二）单位信息管理人员挂牌上岗、履行职责的情况；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（三）单位工作作风、服务质量的情况；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（四）其他需要评议的情况。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第二十三条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对评议意见和建议，具备整改条件的，应在接到反馈通知后1个月内提出整改措施并立即进行整改；不具备整改条件的，要向单位信息公开领导小组办公部门及群众做出说明，待条件成熟时再进行整改。对评议意见和建议，应当整改而未整改或整改不力的，按《单位信息公开责任追究制度》追究部门负责人和相关责任人员的责任。</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第六章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信息公开规定行为责任追究制度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第二十四条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对违反单位信息公开规定的责任追究应当坚持实事求是和教育与惩处相结合、以教育为主的原则。</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第二十五条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违反信息公开规定行为的责任追究种类为：责令改正、通报批评、行政处分。</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第二十六条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违反单位信息公开规定，有下列情形之一的，由单位分管领导责令改正；情节较重的，对有关科部门进行通报批评；情节严重的，对部门主要负责人依法给予处分。</w:t>
      </w:r>
    </w:p>
    <w:p>
      <w:pPr>
        <w:spacing w:after="0" w:line="360" w:lineRule="auto"/>
        <w:ind w:left="880" w:leftChars="4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（一）未建立健全信息公开工作考核、社会评议等工作制度的；</w:t>
      </w:r>
    </w:p>
    <w:p>
      <w:pPr>
        <w:spacing w:after="0" w:line="360" w:lineRule="auto"/>
        <w:ind w:left="880" w:leftChars="4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（二）不按照规定的方式、程序及时间和内容公布信息的；</w:t>
      </w:r>
    </w:p>
    <w:p>
      <w:pPr>
        <w:spacing w:after="0" w:line="360" w:lineRule="auto"/>
        <w:ind w:left="660" w:leftChars="300" w:right="220" w:rightChars="100" w:firstLine="0" w:firstLineChars="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（三）对收到的不履行信息公开义务的举报不积极处理的；</w:t>
      </w:r>
    </w:p>
    <w:p>
      <w:pPr>
        <w:spacing w:after="0" w:line="360" w:lineRule="auto"/>
        <w:ind w:left="660" w:leftChars="300" w:right="220" w:rightChars="100" w:firstLine="0" w:firstLineChars="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（四）未建立健全信息发布保密审查机制的；</w:t>
      </w:r>
    </w:p>
    <w:p>
      <w:pPr>
        <w:spacing w:after="0" w:line="360" w:lineRule="auto"/>
        <w:ind w:left="660" w:leftChars="300" w:right="220" w:rightChars="100" w:firstLine="0" w:firstLineChars="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（五）违反信息公开新闻发布等工作制度的；</w:t>
      </w:r>
    </w:p>
    <w:p>
      <w:pPr>
        <w:spacing w:after="0" w:line="360" w:lineRule="auto"/>
        <w:ind w:left="660" w:leftChars="300" w:right="220" w:rightChars="100" w:firstLine="0" w:firstLineChars="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（六）未按时发布信息公开工作年度报告的。</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第二十七条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责任追究由单位领导按照规定的权限和程序实施。</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第七章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信息公开工作年度报告制度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第二十八条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年度报告实行先备案后公布的制度。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第二十九条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单位信息公开主管部门根据单位所属各部门和单位信息公开工作年度报告编制《事业单位信息公开工作年度报告》。</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第三十条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单位信息公开工作年度报告需由本单位主要领导审核签发，并加盖单位公章，于每年</w:t>
      </w:r>
      <w:r>
        <w:rPr>
          <w:rFonts w:hint="eastAsia" w:asciiTheme="majorEastAsia" w:hAnsiTheme="majorEastAsia" w:eastAsiaTheme="majorEastAsia"/>
          <w:sz w:val="32"/>
          <w:szCs w:val="32"/>
          <w:lang w:val="en-US" w:eastAsia="zh-CN"/>
        </w:rPr>
        <w:t>12</w:t>
      </w:r>
      <w:r>
        <w:rPr>
          <w:rFonts w:asciiTheme="majorEastAsia" w:hAnsiTheme="majorEastAsia" w:eastAsiaTheme="majorEastAsia"/>
          <w:sz w:val="32"/>
          <w:szCs w:val="32"/>
          <w:lang w:eastAsia="zh-CN"/>
        </w:rPr>
        <w:t>月前上报单位信息公开办公部门备案。</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第三十一条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单位信息公开工作年度报告应当涵盖本年度单位信息公开工作，报告应当具体体现以下内容：</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（一）主动公开单位信息情况</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（二）咨询和投诉情况</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（三）工作人员和费用支出情况</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（四）从事单位信息公开工作人员情况；</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（五）单位信息公开事务的财政预算与实际支出情况</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（六）存在的主要问题和改进情况</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（七）其他需要报告的事项</w:t>
      </w:r>
      <w:r>
        <w:rPr>
          <w:rFonts w:hint="eastAsia" w:asciiTheme="majorEastAsia" w:hAnsiTheme="majorEastAsia" w:eastAsiaTheme="majorEastAsia"/>
          <w:sz w:val="32"/>
          <w:szCs w:val="32"/>
          <w:lang w:eastAsia="zh-CN"/>
        </w:rPr>
        <w:t>。</w:t>
      </w:r>
    </w:p>
    <w:p>
      <w:pPr>
        <w:spacing w:after="0" w:line="360" w:lineRule="auto"/>
        <w:ind w:left="220" w:leftChars="100" w:right="220" w:rightChars="100" w:firstLine="0"/>
        <w:jc w:val="center"/>
        <w:rPr>
          <w:rFonts w:asciiTheme="majorEastAsia" w:hAnsiTheme="majorEastAsia" w:eastAsiaTheme="majorEastAsia"/>
          <w:b/>
          <w:bCs/>
          <w:sz w:val="32"/>
          <w:szCs w:val="32"/>
          <w:lang w:eastAsia="zh-CN"/>
        </w:rPr>
      </w:pPr>
      <w:r>
        <w:rPr>
          <w:rFonts w:asciiTheme="majorEastAsia" w:hAnsiTheme="majorEastAsia" w:eastAsiaTheme="majorEastAsia"/>
          <w:b/>
          <w:bCs/>
          <w:sz w:val="32"/>
          <w:szCs w:val="32"/>
          <w:lang w:eastAsia="zh-CN"/>
        </w:rPr>
        <w:t>第八章</w:t>
      </w:r>
      <w:r>
        <w:rPr>
          <w:rFonts w:hint="eastAsia" w:asciiTheme="majorEastAsia" w:hAnsiTheme="majorEastAsia" w:eastAsiaTheme="majorEastAsia"/>
          <w:b/>
          <w:bCs/>
          <w:sz w:val="32"/>
          <w:szCs w:val="32"/>
          <w:lang w:val="en-US" w:eastAsia="zh-CN"/>
        </w:rPr>
        <w:t xml:space="preserve"> </w:t>
      </w:r>
      <w:r>
        <w:rPr>
          <w:rFonts w:asciiTheme="majorEastAsia" w:hAnsiTheme="majorEastAsia" w:eastAsiaTheme="majorEastAsia"/>
          <w:b/>
          <w:bCs/>
          <w:sz w:val="32"/>
          <w:szCs w:val="32"/>
          <w:lang w:eastAsia="zh-CN"/>
        </w:rPr>
        <w:t>不予公开的信息备案制度</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第三十二条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不予公开的单位信息是指涉及国家秘密、商业秘密、个人隐私的单位信息，以及公开后可能危及国家安全、公共安全、经济安全、社会稳定的单位信息。</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第三十三条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上报备案的审核流程是报备表在上报前，应当经本单位保密工作人员审核，并经单位主管或分管领导签发后报送。单位信息公开主管部门应当对报备表进行审核，经审核后发现其中含有应当公开的单位信息，应当会同同级保密工作部门复审，复审后认为确实含有应当公开的单位信息，应当要求对该信息进行追加公开。</w:t>
      </w:r>
    </w:p>
    <w:p>
      <w:pPr>
        <w:spacing w:after="0" w:line="360" w:lineRule="auto"/>
        <w:ind w:left="220" w:leftChars="100" w:right="220" w:rightChars="100" w:firstLine="0"/>
        <w:rPr>
          <w:rFonts w:asciiTheme="majorEastAsia" w:hAnsiTheme="majorEastAsia" w:eastAsiaTheme="majorEastAsia"/>
          <w:sz w:val="32"/>
          <w:szCs w:val="32"/>
          <w:lang w:eastAsia="zh-CN"/>
        </w:rPr>
      </w:pPr>
      <w:r>
        <w:rPr>
          <w:rFonts w:asciiTheme="majorEastAsia" w:hAnsiTheme="majorEastAsia" w:eastAsiaTheme="majorEastAsia"/>
          <w:sz w:val="32"/>
          <w:szCs w:val="32"/>
          <w:lang w:eastAsia="zh-CN"/>
        </w:rPr>
        <w:t>　　第三十</w:t>
      </w:r>
      <w:r>
        <w:rPr>
          <w:rFonts w:hint="eastAsia" w:asciiTheme="majorEastAsia" w:hAnsiTheme="majorEastAsia" w:eastAsiaTheme="majorEastAsia"/>
          <w:sz w:val="32"/>
          <w:szCs w:val="32"/>
          <w:lang w:eastAsia="zh-CN"/>
        </w:rPr>
        <w:t>四</w:t>
      </w:r>
      <w:r>
        <w:rPr>
          <w:rFonts w:asciiTheme="majorEastAsia" w:hAnsiTheme="majorEastAsia" w:eastAsiaTheme="majorEastAsia"/>
          <w:sz w:val="32"/>
          <w:szCs w:val="32"/>
          <w:lang w:eastAsia="zh-CN"/>
        </w:rPr>
        <w:t>条</w:t>
      </w:r>
      <w:r>
        <w:rPr>
          <w:rFonts w:hint="eastAsia" w:asciiTheme="majorEastAsia" w:hAnsiTheme="majorEastAsia" w:eastAsiaTheme="majorEastAsia"/>
          <w:sz w:val="32"/>
          <w:szCs w:val="32"/>
          <w:lang w:val="en-US" w:eastAsia="zh-CN"/>
        </w:rPr>
        <w:t xml:space="preserve"> </w:t>
      </w:r>
      <w:r>
        <w:rPr>
          <w:rFonts w:asciiTheme="majorEastAsia" w:hAnsiTheme="majorEastAsia" w:eastAsiaTheme="majorEastAsia"/>
          <w:sz w:val="32"/>
          <w:szCs w:val="32"/>
          <w:lang w:eastAsia="zh-CN"/>
        </w:rPr>
        <w:t>本制度由单位信息分管部门负责解释。</w:t>
      </w:r>
    </w:p>
    <w:p>
      <w:pPr>
        <w:spacing w:after="0" w:line="360" w:lineRule="auto"/>
        <w:ind w:left="220" w:leftChars="100" w:right="220" w:rightChars="100" w:firstLine="0"/>
        <w:rPr>
          <w:rFonts w:asciiTheme="majorEastAsia" w:hAnsiTheme="majorEastAsia" w:eastAsiaTheme="majorEastAsia"/>
          <w:sz w:val="32"/>
          <w:szCs w:val="32"/>
          <w:lang w:eastAsia="zh-CN"/>
        </w:rPr>
      </w:pPr>
      <w:bookmarkStart w:id="0" w:name="_GoBack"/>
      <w:bookmarkEnd w:id="0"/>
    </w:p>
    <w:sectPr>
      <w:footerReference r:id="rId5" w:type="default"/>
      <w:pgSz w:w="11906" w:h="16838"/>
      <w:pgMar w:top="1440" w:right="1134" w:bottom="1440"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YWYwNThkOTZkODlmZTMwZmNiMWE2ZmRiNDg3OTEifQ=="/>
  </w:docVars>
  <w:rsids>
    <w:rsidRoot w:val="1B775F20"/>
    <w:rsid w:val="001116EE"/>
    <w:rsid w:val="0013321B"/>
    <w:rsid w:val="001363A8"/>
    <w:rsid w:val="001644A9"/>
    <w:rsid w:val="001717B7"/>
    <w:rsid w:val="00232595"/>
    <w:rsid w:val="00276612"/>
    <w:rsid w:val="002B43A3"/>
    <w:rsid w:val="002B715D"/>
    <w:rsid w:val="002C011C"/>
    <w:rsid w:val="002E22E9"/>
    <w:rsid w:val="00355E86"/>
    <w:rsid w:val="003C09EF"/>
    <w:rsid w:val="00437082"/>
    <w:rsid w:val="0046711B"/>
    <w:rsid w:val="004733E6"/>
    <w:rsid w:val="004A0300"/>
    <w:rsid w:val="005029B2"/>
    <w:rsid w:val="00506743"/>
    <w:rsid w:val="0058537E"/>
    <w:rsid w:val="005D1685"/>
    <w:rsid w:val="006B409F"/>
    <w:rsid w:val="006E03B7"/>
    <w:rsid w:val="006E4BEF"/>
    <w:rsid w:val="0071762D"/>
    <w:rsid w:val="00734B24"/>
    <w:rsid w:val="00736E6A"/>
    <w:rsid w:val="00745248"/>
    <w:rsid w:val="00764774"/>
    <w:rsid w:val="00877706"/>
    <w:rsid w:val="008D1B16"/>
    <w:rsid w:val="008E7C75"/>
    <w:rsid w:val="009100C4"/>
    <w:rsid w:val="00992485"/>
    <w:rsid w:val="00A818B8"/>
    <w:rsid w:val="00AA56D6"/>
    <w:rsid w:val="00AB4E51"/>
    <w:rsid w:val="00B1530E"/>
    <w:rsid w:val="00B24013"/>
    <w:rsid w:val="00B653EE"/>
    <w:rsid w:val="00BD0A53"/>
    <w:rsid w:val="00BE43C3"/>
    <w:rsid w:val="00C03D34"/>
    <w:rsid w:val="00C63512"/>
    <w:rsid w:val="00C6379D"/>
    <w:rsid w:val="00C719FB"/>
    <w:rsid w:val="00C85478"/>
    <w:rsid w:val="00C92DBA"/>
    <w:rsid w:val="00D24518"/>
    <w:rsid w:val="00DD4C0E"/>
    <w:rsid w:val="00DD5F7C"/>
    <w:rsid w:val="00E32D7E"/>
    <w:rsid w:val="00E75A4D"/>
    <w:rsid w:val="00E854BF"/>
    <w:rsid w:val="00E91FB5"/>
    <w:rsid w:val="00EA6C05"/>
    <w:rsid w:val="0B5C1270"/>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480" w:lineRule="auto"/>
      <w:ind w:firstLine="360"/>
    </w:pPr>
    <w:rPr>
      <w:rFonts w:asciiTheme="minorHAnsi" w:hAnsiTheme="minorHAnsi" w:eastAsiaTheme="minorEastAsia" w:cstheme="minorBidi"/>
      <w:sz w:val="22"/>
      <w:szCs w:val="22"/>
      <w:lang w:val="en-US" w:eastAsia="en-US" w:bidi="en-US"/>
    </w:rPr>
  </w:style>
  <w:style w:type="paragraph" w:styleId="2">
    <w:name w:val="heading 1"/>
    <w:basedOn w:val="1"/>
    <w:next w:val="1"/>
    <w:link w:val="22"/>
    <w:qFormat/>
    <w:uiPriority w:val="9"/>
    <w:pPr>
      <w:spacing w:before="600" w:after="0" w:line="360" w:lineRule="auto"/>
      <w:ind w:firstLine="0"/>
      <w:outlineLvl w:val="0"/>
    </w:pPr>
    <w:rPr>
      <w:rFonts w:asciiTheme="majorHAnsi" w:hAnsiTheme="majorHAnsi" w:eastAsiaTheme="majorEastAsia" w:cstheme="majorBidi"/>
      <w:b/>
      <w:bCs/>
      <w:i/>
      <w:iCs/>
      <w:sz w:val="32"/>
      <w:szCs w:val="32"/>
    </w:rPr>
  </w:style>
  <w:style w:type="paragraph" w:styleId="3">
    <w:name w:val="heading 2"/>
    <w:basedOn w:val="1"/>
    <w:next w:val="1"/>
    <w:link w:val="23"/>
    <w:semiHidden/>
    <w:unhideWhenUsed/>
    <w:qFormat/>
    <w:uiPriority w:val="9"/>
    <w:pPr>
      <w:spacing w:before="320" w:after="0" w:line="360" w:lineRule="auto"/>
      <w:ind w:firstLine="0"/>
      <w:outlineLvl w:val="1"/>
    </w:pPr>
    <w:rPr>
      <w:rFonts w:asciiTheme="majorHAnsi" w:hAnsiTheme="majorHAnsi" w:eastAsiaTheme="majorEastAsia" w:cstheme="majorBidi"/>
      <w:b/>
      <w:bCs/>
      <w:i/>
      <w:iCs/>
      <w:sz w:val="28"/>
      <w:szCs w:val="28"/>
    </w:rPr>
  </w:style>
  <w:style w:type="paragraph" w:styleId="4">
    <w:name w:val="heading 3"/>
    <w:basedOn w:val="1"/>
    <w:next w:val="1"/>
    <w:link w:val="24"/>
    <w:semiHidden/>
    <w:unhideWhenUsed/>
    <w:qFormat/>
    <w:uiPriority w:val="9"/>
    <w:pPr>
      <w:spacing w:before="320" w:after="0" w:line="360" w:lineRule="auto"/>
      <w:ind w:firstLine="0"/>
      <w:outlineLvl w:val="2"/>
    </w:pPr>
    <w:rPr>
      <w:rFonts w:asciiTheme="majorHAnsi" w:hAnsiTheme="majorHAnsi" w:eastAsiaTheme="majorEastAsia" w:cstheme="majorBidi"/>
      <w:b/>
      <w:bCs/>
      <w:i/>
      <w:iCs/>
      <w:sz w:val="26"/>
      <w:szCs w:val="26"/>
    </w:rPr>
  </w:style>
  <w:style w:type="paragraph" w:styleId="5">
    <w:name w:val="heading 4"/>
    <w:basedOn w:val="1"/>
    <w:next w:val="1"/>
    <w:link w:val="25"/>
    <w:semiHidden/>
    <w:unhideWhenUsed/>
    <w:qFormat/>
    <w:uiPriority w:val="9"/>
    <w:pPr>
      <w:spacing w:before="280" w:after="0" w:line="360" w:lineRule="auto"/>
      <w:ind w:firstLine="0"/>
      <w:outlineLvl w:val="3"/>
    </w:pPr>
    <w:rPr>
      <w:rFonts w:asciiTheme="majorHAnsi" w:hAnsiTheme="majorHAnsi" w:eastAsiaTheme="majorEastAsia" w:cstheme="majorBidi"/>
      <w:b/>
      <w:bCs/>
      <w:i/>
      <w:iCs/>
      <w:sz w:val="24"/>
      <w:szCs w:val="24"/>
    </w:rPr>
  </w:style>
  <w:style w:type="paragraph" w:styleId="6">
    <w:name w:val="heading 5"/>
    <w:basedOn w:val="1"/>
    <w:next w:val="1"/>
    <w:link w:val="26"/>
    <w:semiHidden/>
    <w:unhideWhenUsed/>
    <w:qFormat/>
    <w:uiPriority w:val="9"/>
    <w:pPr>
      <w:spacing w:before="280" w:after="0" w:line="360" w:lineRule="auto"/>
      <w:ind w:firstLine="0"/>
      <w:outlineLvl w:val="4"/>
    </w:pPr>
    <w:rPr>
      <w:rFonts w:asciiTheme="majorHAnsi" w:hAnsiTheme="majorHAnsi" w:eastAsiaTheme="majorEastAsia" w:cstheme="majorBidi"/>
      <w:b/>
      <w:bCs/>
      <w:i/>
      <w:iCs/>
    </w:rPr>
  </w:style>
  <w:style w:type="paragraph" w:styleId="7">
    <w:name w:val="heading 6"/>
    <w:basedOn w:val="1"/>
    <w:next w:val="1"/>
    <w:link w:val="27"/>
    <w:semiHidden/>
    <w:unhideWhenUsed/>
    <w:qFormat/>
    <w:uiPriority w:val="9"/>
    <w:pPr>
      <w:spacing w:before="280" w:after="80" w:line="360" w:lineRule="auto"/>
      <w:ind w:firstLine="0"/>
      <w:outlineLvl w:val="5"/>
    </w:pPr>
    <w:rPr>
      <w:rFonts w:asciiTheme="majorHAnsi" w:hAnsiTheme="majorHAnsi" w:eastAsiaTheme="majorEastAsia" w:cstheme="majorBidi"/>
      <w:b/>
      <w:bCs/>
      <w:i/>
      <w:iCs/>
    </w:rPr>
  </w:style>
  <w:style w:type="paragraph" w:styleId="8">
    <w:name w:val="heading 7"/>
    <w:basedOn w:val="1"/>
    <w:next w:val="1"/>
    <w:link w:val="28"/>
    <w:semiHidden/>
    <w:unhideWhenUsed/>
    <w:qFormat/>
    <w:uiPriority w:val="9"/>
    <w:pPr>
      <w:spacing w:before="280" w:after="0" w:line="360" w:lineRule="auto"/>
      <w:ind w:firstLine="0"/>
      <w:outlineLvl w:val="6"/>
    </w:pPr>
    <w:rPr>
      <w:rFonts w:asciiTheme="majorHAnsi" w:hAnsiTheme="majorHAnsi" w:eastAsiaTheme="majorEastAsia" w:cstheme="majorBidi"/>
      <w:b/>
      <w:bCs/>
      <w:i/>
      <w:iCs/>
      <w:sz w:val="20"/>
      <w:szCs w:val="20"/>
    </w:rPr>
  </w:style>
  <w:style w:type="paragraph" w:styleId="9">
    <w:name w:val="heading 8"/>
    <w:basedOn w:val="1"/>
    <w:next w:val="1"/>
    <w:link w:val="29"/>
    <w:semiHidden/>
    <w:unhideWhenUsed/>
    <w:qFormat/>
    <w:uiPriority w:val="9"/>
    <w:pPr>
      <w:spacing w:before="280" w:after="0" w:line="360" w:lineRule="auto"/>
      <w:ind w:firstLine="0"/>
      <w:outlineLvl w:val="7"/>
    </w:pPr>
    <w:rPr>
      <w:rFonts w:asciiTheme="majorHAnsi" w:hAnsiTheme="majorHAnsi" w:eastAsiaTheme="majorEastAsia" w:cstheme="majorBidi"/>
      <w:b/>
      <w:bCs/>
      <w:i/>
      <w:iCs/>
      <w:sz w:val="18"/>
      <w:szCs w:val="18"/>
    </w:rPr>
  </w:style>
  <w:style w:type="paragraph" w:styleId="10">
    <w:name w:val="heading 9"/>
    <w:basedOn w:val="1"/>
    <w:next w:val="1"/>
    <w:link w:val="30"/>
    <w:semiHidden/>
    <w:unhideWhenUsed/>
    <w:qFormat/>
    <w:uiPriority w:val="9"/>
    <w:pPr>
      <w:spacing w:before="280" w:after="0" w:line="360" w:lineRule="auto"/>
      <w:ind w:firstLine="0"/>
      <w:outlineLvl w:val="8"/>
    </w:pPr>
    <w:rPr>
      <w:rFonts w:asciiTheme="majorHAnsi" w:hAnsiTheme="majorHAnsi" w:eastAsiaTheme="majorEastAsia" w:cstheme="majorBidi"/>
      <w:i/>
      <w:iCs/>
      <w:sz w:val="18"/>
      <w:szCs w:val="1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footer"/>
    <w:basedOn w:val="1"/>
    <w:link w:val="21"/>
    <w:uiPriority w:val="0"/>
    <w:pPr>
      <w:tabs>
        <w:tab w:val="center" w:pos="4153"/>
        <w:tab w:val="right" w:pos="8306"/>
      </w:tabs>
      <w:snapToGrid w:val="0"/>
    </w:pPr>
    <w:rPr>
      <w:sz w:val="18"/>
      <w:szCs w:val="18"/>
    </w:rPr>
  </w:style>
  <w:style w:type="paragraph" w:styleId="13">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320"/>
      <w:jc w:val="right"/>
    </w:pPr>
    <w:rPr>
      <w:i/>
      <w:iCs/>
      <w:color w:val="7F7F7F" w:themeColor="text1" w:themeTint="7F"/>
      <w:spacing w:val="10"/>
      <w:sz w:val="24"/>
      <w:szCs w:val="24"/>
    </w:rPr>
  </w:style>
  <w:style w:type="paragraph" w:styleId="15">
    <w:name w:val="Title"/>
    <w:basedOn w:val="1"/>
    <w:next w:val="1"/>
    <w:link w:val="31"/>
    <w:qFormat/>
    <w:uiPriority w:val="10"/>
    <w:pPr>
      <w:spacing w:line="240" w:lineRule="auto"/>
      <w:ind w:firstLine="0"/>
    </w:pPr>
    <w:rPr>
      <w:rFonts w:asciiTheme="majorHAnsi" w:hAnsiTheme="majorHAnsi" w:eastAsiaTheme="majorEastAsia" w:cstheme="majorBidi"/>
      <w:b/>
      <w:bCs/>
      <w:i/>
      <w:iCs/>
      <w:spacing w:val="10"/>
      <w:sz w:val="60"/>
      <w:szCs w:val="60"/>
    </w:rPr>
  </w:style>
  <w:style w:type="character" w:styleId="18">
    <w:name w:val="Strong"/>
    <w:basedOn w:val="17"/>
    <w:qFormat/>
    <w:uiPriority w:val="22"/>
    <w:rPr>
      <w:b/>
      <w:bCs/>
      <w:spacing w:val="0"/>
    </w:rPr>
  </w:style>
  <w:style w:type="character" w:styleId="19">
    <w:name w:val="Emphasis"/>
    <w:qFormat/>
    <w:uiPriority w:val="20"/>
    <w:rPr>
      <w:b/>
      <w:bCs/>
      <w:i/>
      <w:iCs/>
      <w:color w:val="auto"/>
    </w:rPr>
  </w:style>
  <w:style w:type="character" w:customStyle="1" w:styleId="20">
    <w:name w:val="页眉 Char"/>
    <w:basedOn w:val="17"/>
    <w:link w:val="13"/>
    <w:uiPriority w:val="0"/>
    <w:rPr>
      <w:rFonts w:eastAsia="宋体"/>
      <w:kern w:val="2"/>
      <w:sz w:val="18"/>
      <w:szCs w:val="18"/>
    </w:rPr>
  </w:style>
  <w:style w:type="character" w:customStyle="1" w:styleId="21">
    <w:name w:val="页脚 Char"/>
    <w:basedOn w:val="17"/>
    <w:link w:val="12"/>
    <w:uiPriority w:val="0"/>
    <w:rPr>
      <w:rFonts w:eastAsia="宋体"/>
      <w:kern w:val="2"/>
      <w:sz w:val="18"/>
      <w:szCs w:val="18"/>
    </w:rPr>
  </w:style>
  <w:style w:type="character" w:customStyle="1" w:styleId="22">
    <w:name w:val="标题 1 Char"/>
    <w:basedOn w:val="17"/>
    <w:link w:val="2"/>
    <w:uiPriority w:val="9"/>
    <w:rPr>
      <w:rFonts w:asciiTheme="majorHAnsi" w:hAnsiTheme="majorHAnsi" w:eastAsiaTheme="majorEastAsia" w:cstheme="majorBidi"/>
      <w:b/>
      <w:bCs/>
      <w:i/>
      <w:iCs/>
      <w:sz w:val="32"/>
      <w:szCs w:val="32"/>
    </w:rPr>
  </w:style>
  <w:style w:type="character" w:customStyle="1" w:styleId="23">
    <w:name w:val="标题 2 Char"/>
    <w:basedOn w:val="17"/>
    <w:link w:val="3"/>
    <w:semiHidden/>
    <w:uiPriority w:val="9"/>
    <w:rPr>
      <w:rFonts w:asciiTheme="majorHAnsi" w:hAnsiTheme="majorHAnsi" w:eastAsiaTheme="majorEastAsia" w:cstheme="majorBidi"/>
      <w:b/>
      <w:bCs/>
      <w:i/>
      <w:iCs/>
      <w:sz w:val="28"/>
      <w:szCs w:val="28"/>
    </w:rPr>
  </w:style>
  <w:style w:type="character" w:customStyle="1" w:styleId="24">
    <w:name w:val="标题 3 Char"/>
    <w:basedOn w:val="17"/>
    <w:link w:val="4"/>
    <w:semiHidden/>
    <w:uiPriority w:val="9"/>
    <w:rPr>
      <w:rFonts w:asciiTheme="majorHAnsi" w:hAnsiTheme="majorHAnsi" w:eastAsiaTheme="majorEastAsia" w:cstheme="majorBidi"/>
      <w:b/>
      <w:bCs/>
      <w:i/>
      <w:iCs/>
      <w:sz w:val="26"/>
      <w:szCs w:val="26"/>
    </w:rPr>
  </w:style>
  <w:style w:type="character" w:customStyle="1" w:styleId="25">
    <w:name w:val="标题 4 Char"/>
    <w:basedOn w:val="17"/>
    <w:link w:val="5"/>
    <w:semiHidden/>
    <w:uiPriority w:val="9"/>
    <w:rPr>
      <w:rFonts w:asciiTheme="majorHAnsi" w:hAnsiTheme="majorHAnsi" w:eastAsiaTheme="majorEastAsia" w:cstheme="majorBidi"/>
      <w:b/>
      <w:bCs/>
      <w:i/>
      <w:iCs/>
      <w:sz w:val="24"/>
      <w:szCs w:val="24"/>
    </w:rPr>
  </w:style>
  <w:style w:type="character" w:customStyle="1" w:styleId="26">
    <w:name w:val="标题 5 Char"/>
    <w:basedOn w:val="17"/>
    <w:link w:val="6"/>
    <w:semiHidden/>
    <w:uiPriority w:val="9"/>
    <w:rPr>
      <w:rFonts w:asciiTheme="majorHAnsi" w:hAnsiTheme="majorHAnsi" w:eastAsiaTheme="majorEastAsia" w:cstheme="majorBidi"/>
      <w:b/>
      <w:bCs/>
      <w:i/>
      <w:iCs/>
    </w:rPr>
  </w:style>
  <w:style w:type="character" w:customStyle="1" w:styleId="27">
    <w:name w:val="标题 6 Char"/>
    <w:basedOn w:val="17"/>
    <w:link w:val="7"/>
    <w:semiHidden/>
    <w:uiPriority w:val="9"/>
    <w:rPr>
      <w:rFonts w:asciiTheme="majorHAnsi" w:hAnsiTheme="majorHAnsi" w:eastAsiaTheme="majorEastAsia" w:cstheme="majorBidi"/>
      <w:b/>
      <w:bCs/>
      <w:i/>
      <w:iCs/>
    </w:rPr>
  </w:style>
  <w:style w:type="character" w:customStyle="1" w:styleId="28">
    <w:name w:val="标题 7 Char"/>
    <w:basedOn w:val="17"/>
    <w:link w:val="8"/>
    <w:semiHidden/>
    <w:uiPriority w:val="9"/>
    <w:rPr>
      <w:rFonts w:asciiTheme="majorHAnsi" w:hAnsiTheme="majorHAnsi" w:eastAsiaTheme="majorEastAsia" w:cstheme="majorBidi"/>
      <w:b/>
      <w:bCs/>
      <w:i/>
      <w:iCs/>
      <w:sz w:val="20"/>
      <w:szCs w:val="20"/>
    </w:rPr>
  </w:style>
  <w:style w:type="character" w:customStyle="1" w:styleId="29">
    <w:name w:val="标题 8 Char"/>
    <w:basedOn w:val="17"/>
    <w:link w:val="9"/>
    <w:semiHidden/>
    <w:uiPriority w:val="9"/>
    <w:rPr>
      <w:rFonts w:asciiTheme="majorHAnsi" w:hAnsiTheme="majorHAnsi" w:eastAsiaTheme="majorEastAsia" w:cstheme="majorBidi"/>
      <w:b/>
      <w:bCs/>
      <w:i/>
      <w:iCs/>
      <w:sz w:val="18"/>
      <w:szCs w:val="18"/>
    </w:rPr>
  </w:style>
  <w:style w:type="character" w:customStyle="1" w:styleId="30">
    <w:name w:val="标题 9 Char"/>
    <w:basedOn w:val="17"/>
    <w:link w:val="10"/>
    <w:semiHidden/>
    <w:uiPriority w:val="9"/>
    <w:rPr>
      <w:rFonts w:asciiTheme="majorHAnsi" w:hAnsiTheme="majorHAnsi" w:eastAsiaTheme="majorEastAsia" w:cstheme="majorBidi"/>
      <w:i/>
      <w:iCs/>
      <w:sz w:val="18"/>
      <w:szCs w:val="18"/>
    </w:rPr>
  </w:style>
  <w:style w:type="character" w:customStyle="1" w:styleId="31">
    <w:name w:val="标题 Char"/>
    <w:basedOn w:val="17"/>
    <w:link w:val="15"/>
    <w:uiPriority w:val="10"/>
    <w:rPr>
      <w:rFonts w:asciiTheme="majorHAnsi" w:hAnsiTheme="majorHAnsi" w:eastAsiaTheme="majorEastAsia" w:cstheme="majorBidi"/>
      <w:b/>
      <w:bCs/>
      <w:i/>
      <w:iCs/>
      <w:spacing w:val="10"/>
      <w:sz w:val="60"/>
      <w:szCs w:val="60"/>
    </w:rPr>
  </w:style>
  <w:style w:type="character" w:customStyle="1" w:styleId="32">
    <w:name w:val="副标题 Char"/>
    <w:basedOn w:val="17"/>
    <w:link w:val="14"/>
    <w:qFormat/>
    <w:uiPriority w:val="11"/>
    <w:rPr>
      <w:i/>
      <w:iCs/>
      <w:color w:val="7F7F7F" w:themeColor="text1" w:themeTint="7F"/>
      <w:spacing w:val="10"/>
      <w:sz w:val="24"/>
      <w:szCs w:val="24"/>
    </w:rPr>
  </w:style>
  <w:style w:type="paragraph" w:styleId="33">
    <w:name w:val="No Spacing"/>
    <w:basedOn w:val="1"/>
    <w:link w:val="34"/>
    <w:qFormat/>
    <w:uiPriority w:val="1"/>
    <w:pPr>
      <w:spacing w:after="0" w:line="240" w:lineRule="auto"/>
      <w:ind w:firstLine="0"/>
    </w:pPr>
  </w:style>
  <w:style w:type="character" w:customStyle="1" w:styleId="34">
    <w:name w:val="无间隔 Char"/>
    <w:basedOn w:val="17"/>
    <w:link w:val="33"/>
    <w:uiPriority w:val="1"/>
  </w:style>
  <w:style w:type="paragraph" w:styleId="35">
    <w:name w:val="List Paragraph"/>
    <w:basedOn w:val="1"/>
    <w:qFormat/>
    <w:uiPriority w:val="34"/>
    <w:pPr>
      <w:ind w:left="720"/>
      <w:contextualSpacing/>
    </w:pPr>
  </w:style>
  <w:style w:type="paragraph" w:styleId="36">
    <w:name w:val="Quote"/>
    <w:basedOn w:val="1"/>
    <w:next w:val="1"/>
    <w:link w:val="37"/>
    <w:qFormat/>
    <w:uiPriority w:val="29"/>
    <w:rPr>
      <w:color w:val="595959" w:themeColor="text1" w:themeTint="A5"/>
    </w:rPr>
  </w:style>
  <w:style w:type="character" w:customStyle="1" w:styleId="37">
    <w:name w:val="引用 Char"/>
    <w:basedOn w:val="17"/>
    <w:link w:val="36"/>
    <w:uiPriority w:val="29"/>
    <w:rPr>
      <w:rFonts w:asciiTheme="minorHAnsi"/>
      <w:color w:val="595959" w:themeColor="text1" w:themeTint="A5"/>
    </w:rPr>
  </w:style>
  <w:style w:type="paragraph" w:styleId="38">
    <w:name w:val="Intense Quote"/>
    <w:basedOn w:val="1"/>
    <w:next w:val="1"/>
    <w:link w:val="39"/>
    <w:qFormat/>
    <w:uiPriority w:val="30"/>
    <w:pPr>
      <w:spacing w:before="320" w:after="480" w:line="240" w:lineRule="auto"/>
      <w:ind w:left="720" w:right="720" w:firstLine="0"/>
      <w:jc w:val="center"/>
    </w:pPr>
    <w:rPr>
      <w:rFonts w:asciiTheme="majorHAnsi" w:hAnsiTheme="majorHAnsi" w:eastAsiaTheme="majorEastAsia" w:cstheme="majorBidi"/>
      <w:i/>
      <w:iCs/>
      <w:sz w:val="20"/>
      <w:szCs w:val="20"/>
    </w:rPr>
  </w:style>
  <w:style w:type="character" w:customStyle="1" w:styleId="39">
    <w:name w:val="明显引用 Char"/>
    <w:basedOn w:val="17"/>
    <w:link w:val="38"/>
    <w:uiPriority w:val="30"/>
    <w:rPr>
      <w:rFonts w:asciiTheme="majorHAnsi" w:hAnsiTheme="majorHAnsi" w:eastAsiaTheme="majorEastAsia" w:cstheme="majorBidi"/>
      <w:i/>
      <w:iCs/>
      <w:sz w:val="20"/>
      <w:szCs w:val="20"/>
    </w:rPr>
  </w:style>
  <w:style w:type="character" w:customStyle="1" w:styleId="40">
    <w:name w:val="Subtle Emphasis"/>
    <w:qFormat/>
    <w:uiPriority w:val="19"/>
    <w:rPr>
      <w:i/>
      <w:iCs/>
      <w:color w:val="595959" w:themeColor="text1" w:themeTint="A5"/>
    </w:rPr>
  </w:style>
  <w:style w:type="character" w:customStyle="1" w:styleId="41">
    <w:name w:val="Intense Emphasis"/>
    <w:qFormat/>
    <w:uiPriority w:val="21"/>
    <w:rPr>
      <w:b/>
      <w:bCs/>
      <w:i/>
      <w:iCs/>
      <w:color w:val="auto"/>
      <w:u w:val="single"/>
    </w:rPr>
  </w:style>
  <w:style w:type="character" w:customStyle="1" w:styleId="42">
    <w:name w:val="Subtle Reference"/>
    <w:qFormat/>
    <w:uiPriority w:val="31"/>
    <w:rPr>
      <w:smallCaps/>
    </w:rPr>
  </w:style>
  <w:style w:type="character" w:customStyle="1" w:styleId="43">
    <w:name w:val="Intense Reference"/>
    <w:qFormat/>
    <w:uiPriority w:val="32"/>
    <w:rPr>
      <w:b/>
      <w:bCs/>
      <w:smallCaps/>
      <w:color w:val="auto"/>
    </w:rPr>
  </w:style>
  <w:style w:type="character" w:customStyle="1" w:styleId="44">
    <w:name w:val="Book Title"/>
    <w:qFormat/>
    <w:uiPriority w:val="33"/>
    <w:rPr>
      <w:rFonts w:asciiTheme="majorHAnsi" w:hAnsiTheme="majorHAnsi" w:eastAsiaTheme="majorEastAsia" w:cstheme="majorBidi"/>
      <w:b/>
      <w:bCs/>
      <w:smallCaps/>
      <w:color w:val="auto"/>
      <w:u w:val="single"/>
    </w:rPr>
  </w:style>
  <w:style w:type="paragraph" w:customStyle="1" w:styleId="4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Pages>
  <Words>3169</Words>
  <Characters>3169</Characters>
  <Lines>23</Lines>
  <Paragraphs>6</Paragraphs>
  <TotalTime>44</TotalTime>
  <ScaleCrop>false</ScaleCrop>
  <LinksUpToDate>false</LinksUpToDate>
  <CharactersWithSpaces>3303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徐大橙</cp:lastModifiedBy>
  <dcterms:modified xsi:type="dcterms:W3CDTF">2022-06-14T03:03:00Z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0BE7BE1C84E3480AA667560B12DD0ACC</vt:lpwstr>
  </property>
</Properties>
</file>